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E4C09" w:rsidRPr="009E4C09" w:rsidRDefault="009E4C09" w:rsidP="009E4C09">
      <w:pPr>
        <w:tabs>
          <w:tab w:val="left" w:pos="1276"/>
          <w:tab w:val="left" w:pos="8080"/>
        </w:tabs>
        <w:ind w:left="0" w:firstLine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:rsidR="009E4C09" w:rsidRPr="009E4C09" w:rsidRDefault="009E4C09" w:rsidP="009E4C09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0317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731 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ภาวะผู้นำทางเทคโนโลยีและสื่อสารการศึกษา                     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226E46" w:rsidRPr="00811084" w:rsidRDefault="00AF771C" w:rsidP="00226E46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</w:rPr>
      </w:pP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และการบริหารจัดการองค์การเทคโนโลยีและสื่อสารการศึกษา </w:t>
      </w:r>
      <w:r w:rsidR="00D961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แผนพัฒนาเศรษฐกิจและสังคมแห่งชาติ  แผนการศึกษาชาติ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แผนพัฒนาดิจิทัลเพื่อเศรษฐกิจและสังคม </w:t>
      </w:r>
      <w:r w:rsidR="00D961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แนวคิดองค์การสมัยใหม่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2F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การพัฒนางานเทคโนโลยีและสื่อสารการศึกษาโดยยึดหลักหลักปรัชญาเศรษฐกิจพอเพียง 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24605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246050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24605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246050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24605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246050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24605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246050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7C2FD1" w:rsidP="007C2FD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24605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246050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5.2pt;margin-top:1.9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F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24605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246050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5.4pt;margin-top:3.0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24605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246050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5.9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76AB8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1C6857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E4C09">
        <w:rPr>
          <w:rFonts w:ascii="TH SarabunPSK" w:hAnsi="TH SarabunPSK" w:cs="TH SarabunPSK"/>
          <w:sz w:val="32"/>
          <w:szCs w:val="32"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C685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E4C09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076AB8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Pr="00076AB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เกี่ยว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กับภาวะผู้นำทางเทคโนโลยีและสื่อสารการศึกษา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68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แนวคิดองค์การสมัยใหม่</w:t>
      </w:r>
      <w:r w:rsidR="002E6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68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BD5E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การพัฒนางานเทคโนโลยีและสื่อสารการศึกษาโดยยึดหลักหลักปรัชญาเศรษฐกิจพอเพียง 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127F" w:rsidRDefault="00F96664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2E683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</w:p>
    <w:p w:rsidR="00685EC1" w:rsidRDefault="00F96664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การพัฒนาองค์การทางเทคโนโลยีและสื่อสารการศึกษา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การแก้ปัญหาทั้งเชิงนโยบายและ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เชิงปฏิบัติการได้อย่างมีประสิทธิภาพ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บริหารจัดการปัญหา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จัดการองค์การเทคโนโลยีและสื่อสารการศึกษา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ทางการแก้ไขปัญหา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ในบริบทด้าน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องค์การทางเทคโนโลยีและสื่อสารการศึกษา และการพัฒนางาน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ทางเทคโนโลยีและสื่อสารการศึกษา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685EC1" w:rsidRDefault="00685EC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076AB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E75C52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076AB8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076AB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pPr w:leftFromText="180" w:rightFromText="180" w:vertAnchor="page" w:horzAnchor="margin" w:tblpY="99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709"/>
        <w:gridCol w:w="709"/>
        <w:gridCol w:w="709"/>
      </w:tblGrid>
      <w:tr w:rsidR="00685EC1" w:rsidRPr="007C2FD1" w:rsidTr="00E43C83">
        <w:trPr>
          <w:trHeight w:val="244"/>
        </w:trPr>
        <w:tc>
          <w:tcPr>
            <w:tcW w:w="1449" w:type="dxa"/>
            <w:vMerge w:val="restart"/>
          </w:tcPr>
          <w:p w:rsidR="00685EC1" w:rsidRPr="007C2FD1" w:rsidRDefault="00685EC1" w:rsidP="00685EC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</w:p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85EC1" w:rsidRPr="007C2FD1" w:rsidTr="00E43C83">
        <w:trPr>
          <w:trHeight w:val="524"/>
        </w:trPr>
        <w:tc>
          <w:tcPr>
            <w:tcW w:w="1449" w:type="dxa"/>
            <w:vMerge/>
          </w:tcPr>
          <w:p w:rsidR="00685EC1" w:rsidRPr="007C2FD1" w:rsidRDefault="00685EC1" w:rsidP="00685EC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EC1" w:rsidRPr="007C2FD1" w:rsidTr="00E43C83">
        <w:trPr>
          <w:trHeight w:val="928"/>
        </w:trPr>
        <w:tc>
          <w:tcPr>
            <w:tcW w:w="1449" w:type="dxa"/>
          </w:tcPr>
          <w:p w:rsidR="00685EC1" w:rsidRPr="007C2FD1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85EC1" w:rsidRPr="007C2FD1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03D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เรียนรู้จากต้นแบบ เช่น อาจารย์ผู้สอน  วิทยากร หรือบุคคลตัวอย่างในสังคม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B32D88" w:rsidRPr="00750D96" w:rsidRDefault="00750D96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ียนรู้จากวิเคราะห์ วิจารณ์ การทำวิจัย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รียนรู้จากวิทยากร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50524F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สารสนเทศและการสื่อสาร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220E4B" w:rsidRPr="00F34D5A" w:rsidRDefault="00220E4B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774C58" w:rsidRPr="00774C58" w:rsidRDefault="00774C58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ญ่เพื่อฝึกวินัย  ความรับผิดชอบ การเป็นผู้นำ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 การเรียน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รู้การจัดการปฏิสัมพันธ์ในกลุ่ม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ทักษะการสื่อสารที่สร้างสรรค์รวมทั้งการยอมรับความแตกต่าง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220E4B" w:rsidRDefault="00220E4B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570E9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252A76" w:rsidRPr="00487CB7" w:rsidRDefault="00220E4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076AB8" w:rsidRDefault="00BE24F9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1C6857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1C6857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1C6857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ประมวลลักษณะวิชา</w:t>
            </w:r>
          </w:p>
          <w:p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2E683E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32CA4" w:rsidRPr="00C50BB2" w:rsidRDefault="001C6857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1C6857">
        <w:trPr>
          <w:trHeight w:val="809"/>
        </w:trPr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373B" w:rsidRPr="00150125" w:rsidRDefault="002E683E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1C6857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ชุมรักษา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150125" w:rsidRDefault="002E683E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2168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5E216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5E2168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:rsidR="00252A76" w:rsidRPr="00DD7EF1" w:rsidRDefault="00DE4829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1C6857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BD5E6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-6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150125" w:rsidRPr="00814FEC" w:rsidRDefault="002E683E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:rsidR="00DE4829" w:rsidRDefault="00DD7EF1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D5E6A" w:rsidRPr="00814FEC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BD5E6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1C6857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  <w:p w:rsidR="00E40A3B" w:rsidRPr="000D5562" w:rsidRDefault="00E40A3B" w:rsidP="00B6582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DD7EF1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4829" w:rsidRDefault="00DD7EF1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4829" w:rsidRPr="00DD7EF1" w:rsidRDefault="00DE4829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B6582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1C6857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B65822" w:rsidRPr="00BE03DF" w:rsidTr="001C6857">
        <w:tc>
          <w:tcPr>
            <w:tcW w:w="1101" w:type="dxa"/>
            <w:shd w:val="clear" w:color="auto" w:fill="auto"/>
          </w:tcPr>
          <w:p w:rsidR="00B65822" w:rsidRDefault="001C6857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8-</w:t>
            </w:r>
            <w:r w:rsidR="00B6582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DE4829" w:rsidRDefault="00DE4829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:rsidR="00B65822" w:rsidRPr="00DD7EF1" w:rsidRDefault="00DD7EF1" w:rsidP="002253BF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B65822" w:rsidRPr="00814FEC" w:rsidRDefault="001C6857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681892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52A76" w:rsidRPr="0093663B" w:rsidRDefault="006E48A8" w:rsidP="0068189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DD7EF1" w:rsidRPr="00814FEC" w:rsidRDefault="00DD7EF1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DD7EF1" w:rsidRDefault="00814FEC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1C6857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78567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BD5E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:rsidR="00681892" w:rsidRPr="00814FEC" w:rsidRDefault="00681892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1EFF" w:rsidRPr="008E67F6" w:rsidRDefault="00BD5E6A" w:rsidP="008E67F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D55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องค์การทาง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ทั้งในประเทศและต่าง</w:t>
            </w:r>
            <w:r w:rsidR="005D4A2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78567E" w:rsidRDefault="00BD5E6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Default="000D5562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5E6A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BD5E6A" w:rsidRPr="008755F5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1C6857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1C6857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1C6857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F47E54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C6857" w:rsidP="008E67F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:rsidR="001D3813" w:rsidRDefault="001D3813" w:rsidP="001D3813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(2526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การบริหารสื่อและเทคโนโลยีทางการศึกษา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วัฒนาพานิช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C0691" w:rsidRPr="003F744E" w:rsidRDefault="00340910" w:rsidP="00340910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สุเทพ พงศ์ศรีวัฒน์</w:t>
      </w:r>
      <w:r w:rsidR="003C06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(2545).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ภาวะผู้นำ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ทฤษฎีและปฏิบัติ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 w:rsidR="003C0691" w:rsidRPr="003F74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บุคส์ลิงค์</w:t>
      </w:r>
      <w:r w:rsidR="003C0691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7B4C1C" w:rsidRDefault="007B4C1C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 w:hint="cs"/>
          <w:sz w:val="32"/>
          <w:szCs w:val="32"/>
        </w:rPr>
      </w:pPr>
    </w:p>
    <w:p w:rsidR="001D3813" w:rsidRPr="007A3E19" w:rsidRDefault="00340910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3813"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="001D3813"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3C0691" w:rsidRPr="003F744E" w:rsidRDefault="00880429" w:rsidP="003C0691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  <w:r w:rsidR="003C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Gunter, H.M.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(2001).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 London : Paul Chapman Publishing.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Leithwood, K. et al ., (1999).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Philadephia : Open University Press. </w:t>
      </w:r>
    </w:p>
    <w:p w:rsidR="003C0691" w:rsidRPr="003F744E" w:rsidRDefault="003C0691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Pary, K.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(1996).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Melbourn,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Australia : Pitman Publishing.</w:t>
      </w:r>
    </w:p>
    <w:p w:rsidR="002E587C" w:rsidRPr="003C0691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7CB7" w:rsidRPr="001C6857" w:rsidRDefault="00487CB7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</w:t>
      </w:r>
      <w:r w:rsidR="00076AB8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76AB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76AB8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76AB8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076AB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C1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7B4C1C" w:rsidRDefault="007B4C1C" w:rsidP="004B7C89">
      <w:pPr>
        <w:ind w:left="720" w:hanging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A1B" w:rsidRPr="004A6151" w:rsidRDefault="00491A1B" w:rsidP="004B7C89">
      <w:pPr>
        <w:ind w:left="720" w:hanging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B7C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D33C9B" w:rsidRDefault="005D4A23" w:rsidP="004B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4B7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C89" w:rsidRPr="00F34D5A">
        <w:rPr>
          <w:rFonts w:ascii="TH SarabunPSK" w:hAnsi="TH SarabunPSK" w:cs="TH SarabunPSK"/>
          <w:sz w:val="32"/>
          <w:szCs w:val="32"/>
          <w:cs/>
        </w:rPr>
        <w:t>หลักการ ทฤษฎี</w:t>
      </w:r>
      <w:r w:rsidR="004B7C8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B7C89" w:rsidRPr="00F34D5A">
        <w:rPr>
          <w:rFonts w:ascii="TH SarabunPSK" w:hAnsi="TH SarabunPSK" w:cs="TH SarabunPSK"/>
          <w:sz w:val="32"/>
          <w:szCs w:val="32"/>
          <w:cs/>
        </w:rPr>
        <w:t>เกี่ยวข้องกับภาวะผู้นำ</w:t>
      </w:r>
      <w:r w:rsidR="004B7C89">
        <w:rPr>
          <w:rFonts w:ascii="TH SarabunPSK" w:hAnsi="TH SarabunPSK" w:cs="TH SarabunPSK"/>
          <w:sz w:val="32"/>
          <w:szCs w:val="32"/>
        </w:rPr>
        <w:t xml:space="preserve"> /</w:t>
      </w:r>
      <w:r w:rsidR="00D33C9B">
        <w:rPr>
          <w:rFonts w:ascii="TH SarabunPSK" w:hAnsi="TH SarabunPSK" w:cs="TH SarabunPSK" w:hint="cs"/>
          <w:sz w:val="32"/>
          <w:szCs w:val="32"/>
          <w:cs/>
        </w:rPr>
        <w:t>ศึกษาค้นคว้าและ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นำเสนอ/อภิปราย</w:t>
      </w:r>
      <w:r w:rsidR="00D33C9B">
        <w:rPr>
          <w:rFonts w:ascii="TH SarabunPSK" w:hAnsi="TH SarabunPSK" w:cs="TH SarabunPSK"/>
          <w:sz w:val="32"/>
          <w:szCs w:val="32"/>
        </w:rPr>
        <w:t xml:space="preserve"> </w:t>
      </w:r>
    </w:p>
    <w:p w:rsidR="004B7C89" w:rsidRDefault="005D4A23" w:rsidP="005D4A2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34D5A">
        <w:rPr>
          <w:rFonts w:ascii="TH SarabunPSK" w:hAnsi="TH SarabunPSK" w:cs="TH SarabunPSK"/>
          <w:sz w:val="32"/>
          <w:szCs w:val="32"/>
          <w:cs/>
        </w:rPr>
        <w:t>หลักการ ทฤษฎี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34D5A">
        <w:rPr>
          <w:rFonts w:ascii="TH SarabunPSK" w:hAnsi="TH SarabunPSK" w:cs="TH SarabunPSK"/>
          <w:sz w:val="32"/>
          <w:szCs w:val="32"/>
          <w:cs/>
        </w:rPr>
        <w:t>เกี่ยวข้องกับการบริหารจัดการองค์การเทคโนโลยีและสื่อสารการศึกษา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</w:t>
      </w:r>
      <w:r w:rsidRPr="00F34D5A">
        <w:rPr>
          <w:rFonts w:ascii="TH SarabunPSK" w:hAnsi="TH SarabunPSK" w:cs="TH SarabunPSK"/>
          <w:sz w:val="32"/>
          <w:szCs w:val="32"/>
          <w:cs/>
        </w:rPr>
        <w:t>ภาวะผู้นำทางเทคโนโลยีและสื่อสารการศึกษา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sz w:val="32"/>
          <w:szCs w:val="32"/>
          <w:cs/>
        </w:rPr>
        <w:t>และการบริหารจัดการองค์การเทคโนโลยีและสื่อสารการศึกษา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Pr="00814FEC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34D5A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F34D5A">
        <w:rPr>
          <w:rFonts w:ascii="TH SarabunPSK" w:hAnsi="TH SarabunPSK" w:cs="TH SarabunPSK"/>
          <w:sz w:val="32"/>
          <w:szCs w:val="32"/>
          <w:cs/>
        </w:rPr>
        <w:t>แผนการศึกษาชาติ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F34D5A">
        <w:rPr>
          <w:rFonts w:ascii="TH SarabunPSK" w:hAnsi="TH SarabunPSK" w:cs="TH SarabunPSK"/>
          <w:sz w:val="32"/>
          <w:szCs w:val="32"/>
          <w:cs/>
        </w:rPr>
        <w:t>แผนพัฒนาดิจิทัลเพื่อเศรษฐกิจและสังคม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Pr="00814FEC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การศึกษาเฉพาะกรณีองค์การทางเทคโนโลยีและสื่อสารการศึกษา ทั้งในประเทศและต่างประเทศ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7B4C1C" w:rsidRDefault="007B4C1C" w:rsidP="005D4A23">
      <w:pPr>
        <w:pStyle w:val="Defaul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A23" w:rsidRDefault="005D4A23" w:rsidP="005D4A2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D4A2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วิทยากรบรรยาย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1) </w:t>
      </w:r>
      <w:r w:rsidR="002A71D6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ภาวะผู้นำ และ</w:t>
      </w:r>
      <w:r w:rsidRPr="00F34D5A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F34D5A">
        <w:rPr>
          <w:rFonts w:ascii="TH SarabunPSK" w:hAnsi="TH SarabunPSK" w:cs="TH SarabunPSK"/>
          <w:sz w:val="32"/>
          <w:szCs w:val="32"/>
          <w:cs/>
        </w:rPr>
        <w:t>องค์การสมัยใหม่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2A71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sz w:val="32"/>
          <w:szCs w:val="32"/>
          <w:cs/>
        </w:rPr>
        <w:t xml:space="preserve">องค์การในอนาคตสู่สังคมแห่งการเรียนรู้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23" w:rsidRP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2A71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95" w:rsidRDefault="00A50295">
      <w:r>
        <w:separator/>
      </w:r>
    </w:p>
  </w:endnote>
  <w:endnote w:type="continuationSeparator" w:id="1">
    <w:p w:rsidR="00A50295" w:rsidRDefault="00A5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Default="00246050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E4829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E4829" w:rsidRDefault="00DE4829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053C5" w:rsidRDefault="00DE4829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95" w:rsidRDefault="00A50295">
      <w:r>
        <w:separator/>
      </w:r>
    </w:p>
  </w:footnote>
  <w:footnote w:type="continuationSeparator" w:id="1">
    <w:p w:rsidR="00A50295" w:rsidRDefault="00A5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93E76" w:rsidRDefault="00246050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DE4829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2A71D6" w:rsidRPr="002A71D6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DE4829" w:rsidRDefault="00DE48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6D7041" w:rsidRDefault="00DE482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76AB8"/>
    <w:rsid w:val="00081A6C"/>
    <w:rsid w:val="00087D1F"/>
    <w:rsid w:val="0009560E"/>
    <w:rsid w:val="000A2615"/>
    <w:rsid w:val="000A566E"/>
    <w:rsid w:val="000B77E9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0FE4"/>
    <w:rsid w:val="00127D7E"/>
    <w:rsid w:val="001306AE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57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050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A71D6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A1162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86F55"/>
    <w:rsid w:val="007A4705"/>
    <w:rsid w:val="007B4C1C"/>
    <w:rsid w:val="007B5A2F"/>
    <w:rsid w:val="007B67C7"/>
    <w:rsid w:val="007C0E95"/>
    <w:rsid w:val="007C2FD1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10B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67F6"/>
    <w:rsid w:val="008E73D7"/>
    <w:rsid w:val="008F0E72"/>
    <w:rsid w:val="008F1FE9"/>
    <w:rsid w:val="008F44C3"/>
    <w:rsid w:val="008F7AF2"/>
    <w:rsid w:val="008F7D6A"/>
    <w:rsid w:val="00914B28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75EC"/>
    <w:rsid w:val="00996838"/>
    <w:rsid w:val="009B0321"/>
    <w:rsid w:val="009B7ACD"/>
    <w:rsid w:val="009D1613"/>
    <w:rsid w:val="009D1EC2"/>
    <w:rsid w:val="009D2D2A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50295"/>
    <w:rsid w:val="00A66AA4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F771C"/>
    <w:rsid w:val="00B0175F"/>
    <w:rsid w:val="00B10633"/>
    <w:rsid w:val="00B14EDB"/>
    <w:rsid w:val="00B15147"/>
    <w:rsid w:val="00B24048"/>
    <w:rsid w:val="00B307F9"/>
    <w:rsid w:val="00B32D88"/>
    <w:rsid w:val="00B34AAC"/>
    <w:rsid w:val="00B44ABE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F0D61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CD543E"/>
    <w:rsid w:val="00CD73F5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87E3A"/>
    <w:rsid w:val="00D90124"/>
    <w:rsid w:val="00D908E7"/>
    <w:rsid w:val="00D95C0A"/>
    <w:rsid w:val="00D961B1"/>
    <w:rsid w:val="00D97E27"/>
    <w:rsid w:val="00DA03CE"/>
    <w:rsid w:val="00DA07FD"/>
    <w:rsid w:val="00DA3CF3"/>
    <w:rsid w:val="00DC6C77"/>
    <w:rsid w:val="00DD0628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3C8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0377"/>
    <w:rsid w:val="00F466AD"/>
    <w:rsid w:val="00F47E54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6</cp:revision>
  <cp:lastPrinted>2017-08-28T08:43:00Z</cp:lastPrinted>
  <dcterms:created xsi:type="dcterms:W3CDTF">2020-12-06T01:44:00Z</dcterms:created>
  <dcterms:modified xsi:type="dcterms:W3CDTF">2020-12-06T02:32:00Z</dcterms:modified>
</cp:coreProperties>
</file>